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3A9B" w14:textId="77777777" w:rsidR="00C17122" w:rsidRDefault="00D70714" w:rsidP="00A30E67">
      <w:pPr>
        <w:pStyle w:val="NoSpacing"/>
      </w:pPr>
      <w:r>
        <w:rPr>
          <w:noProof/>
        </w:rPr>
        <w:drawing>
          <wp:inline distT="0" distB="0" distL="0" distR="0" wp14:anchorId="30B07EEB" wp14:editId="7E01C2E7">
            <wp:extent cx="2857500" cy="942975"/>
            <wp:effectExtent l="0" t="0" r="0" b="952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2F6410DF" w14:textId="77777777" w:rsidR="00D70714" w:rsidRDefault="00D70714" w:rsidP="00A30E67">
      <w:pPr>
        <w:pStyle w:val="NoSpacing"/>
      </w:pPr>
    </w:p>
    <w:p w14:paraId="2CE7F635" w14:textId="77777777" w:rsidR="00D70714" w:rsidRDefault="00D70714" w:rsidP="00A30E67">
      <w:pPr>
        <w:pStyle w:val="NoSpacing"/>
      </w:pPr>
    </w:p>
    <w:tbl>
      <w:tblPr>
        <w:tblStyle w:val="TableGrid"/>
        <w:tblW w:w="0" w:type="auto"/>
        <w:tblLook w:val="04A0" w:firstRow="1" w:lastRow="0" w:firstColumn="1" w:lastColumn="0" w:noHBand="0" w:noVBand="1"/>
      </w:tblPr>
      <w:tblGrid>
        <w:gridCol w:w="3235"/>
        <w:gridCol w:w="6115"/>
      </w:tblGrid>
      <w:tr w:rsidR="00187152" w:rsidRPr="00187152" w14:paraId="566A7C34" w14:textId="77777777" w:rsidTr="00B856C5">
        <w:tc>
          <w:tcPr>
            <w:tcW w:w="3235" w:type="dxa"/>
          </w:tcPr>
          <w:p w14:paraId="7FC02057"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Document Number</w:t>
            </w:r>
          </w:p>
        </w:tc>
        <w:tc>
          <w:tcPr>
            <w:tcW w:w="6115" w:type="dxa"/>
          </w:tcPr>
          <w:p w14:paraId="08A5A9A9" w14:textId="2DEB7E01" w:rsidR="00187152" w:rsidRPr="00187152" w:rsidRDefault="00FF7531" w:rsidP="00187152">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Standards of Comfort Policy</w:t>
            </w:r>
            <w:r w:rsidR="00B856C5">
              <w:rPr>
                <w:rFonts w:asciiTheme="minorHAnsi" w:eastAsiaTheme="minorHAnsi" w:hAnsiTheme="minorHAnsi" w:cstheme="minorBidi"/>
                <w:b/>
                <w:sz w:val="22"/>
                <w:szCs w:val="22"/>
              </w:rPr>
              <w:t xml:space="preserve"> SOP</w:t>
            </w:r>
            <w:r w:rsidR="002E6BB8">
              <w:rPr>
                <w:rFonts w:asciiTheme="minorHAnsi" w:eastAsiaTheme="minorHAnsi" w:hAnsiTheme="minorHAnsi" w:cstheme="minorBidi"/>
                <w:b/>
                <w:sz w:val="22"/>
                <w:szCs w:val="22"/>
              </w:rPr>
              <w:t xml:space="preserve">, </w:t>
            </w:r>
            <w:r w:rsidR="002E6BB8" w:rsidRPr="002E6BB8">
              <w:rPr>
                <w:rFonts w:asciiTheme="minorHAnsi" w:eastAsiaTheme="minorHAnsi" w:hAnsiTheme="minorHAnsi" w:cstheme="minorBidi"/>
                <w:b/>
                <w:sz w:val="22"/>
                <w:szCs w:val="22"/>
              </w:rPr>
              <w:t>D.1</w:t>
            </w:r>
            <w:r w:rsidR="002E6BB8">
              <w:rPr>
                <w:rFonts w:asciiTheme="minorHAnsi" w:eastAsiaTheme="minorHAnsi" w:hAnsiTheme="minorHAnsi" w:cstheme="minorBidi"/>
                <w:b/>
                <w:sz w:val="22"/>
                <w:szCs w:val="22"/>
              </w:rPr>
              <w:t>2</w:t>
            </w:r>
            <w:r w:rsidR="002E6BB8" w:rsidRPr="002E6BB8">
              <w:rPr>
                <w:rFonts w:asciiTheme="minorHAnsi" w:eastAsiaTheme="minorHAnsi" w:hAnsiTheme="minorHAnsi" w:cstheme="minorBidi"/>
                <w:b/>
                <w:sz w:val="22"/>
                <w:szCs w:val="22"/>
              </w:rPr>
              <w:t>.01</w:t>
            </w:r>
          </w:p>
        </w:tc>
      </w:tr>
      <w:tr w:rsidR="00187152" w:rsidRPr="00187152" w14:paraId="5650DB28" w14:textId="77777777" w:rsidTr="00B856C5">
        <w:tc>
          <w:tcPr>
            <w:tcW w:w="3235" w:type="dxa"/>
          </w:tcPr>
          <w:p w14:paraId="4E2BBF7D"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Owner/Contact Information:</w:t>
            </w:r>
          </w:p>
        </w:tc>
        <w:tc>
          <w:tcPr>
            <w:tcW w:w="6115" w:type="dxa"/>
          </w:tcPr>
          <w:p w14:paraId="7F5E0E20" w14:textId="6C2EA59B" w:rsidR="00187152" w:rsidRPr="00187152" w:rsidRDefault="00FF7531"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Facilities Operations</w:t>
            </w:r>
          </w:p>
        </w:tc>
      </w:tr>
      <w:tr w:rsidR="00187152" w:rsidRPr="00187152" w14:paraId="7EF0369F" w14:textId="77777777" w:rsidTr="00B856C5">
        <w:tc>
          <w:tcPr>
            <w:tcW w:w="3235" w:type="dxa"/>
          </w:tcPr>
          <w:p w14:paraId="76F47F58"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Effective Date:</w:t>
            </w:r>
          </w:p>
        </w:tc>
        <w:tc>
          <w:tcPr>
            <w:tcW w:w="6115" w:type="dxa"/>
          </w:tcPr>
          <w:p w14:paraId="1CC64FCD" w14:textId="27742AD8" w:rsidR="00187152" w:rsidRPr="00187152" w:rsidRDefault="00FF7531" w:rsidP="00187152">
            <w:pPr>
              <w:rPr>
                <w:rFonts w:asciiTheme="minorHAnsi" w:eastAsiaTheme="minorHAnsi" w:hAnsiTheme="minorHAnsi" w:cstheme="minorBidi"/>
                <w:sz w:val="22"/>
                <w:szCs w:val="22"/>
              </w:rPr>
            </w:pPr>
            <w:r>
              <w:rPr>
                <w:rFonts w:asciiTheme="minorHAnsi" w:eastAsiaTheme="minorHAnsi" w:hAnsiTheme="minorHAnsi" w:cstheme="minorBidi"/>
                <w:sz w:val="22"/>
                <w:szCs w:val="22"/>
              </w:rPr>
              <w:t>10/26/2011</w:t>
            </w:r>
          </w:p>
        </w:tc>
      </w:tr>
      <w:tr w:rsidR="00187152" w:rsidRPr="00187152" w14:paraId="618D6E29" w14:textId="77777777" w:rsidTr="00B856C5">
        <w:tc>
          <w:tcPr>
            <w:tcW w:w="3235" w:type="dxa"/>
          </w:tcPr>
          <w:p w14:paraId="606C7915"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Last Revised/Reviewed:</w:t>
            </w:r>
          </w:p>
        </w:tc>
        <w:tc>
          <w:tcPr>
            <w:tcW w:w="6115" w:type="dxa"/>
          </w:tcPr>
          <w:p w14:paraId="3C6DF644" w14:textId="1A9B6C64" w:rsidR="00187152" w:rsidRPr="00187152" w:rsidRDefault="00187152" w:rsidP="00187152">
            <w:pPr>
              <w:rPr>
                <w:rFonts w:asciiTheme="minorHAnsi" w:eastAsiaTheme="minorHAnsi" w:hAnsiTheme="minorHAnsi" w:cstheme="minorBidi"/>
                <w:sz w:val="22"/>
                <w:szCs w:val="22"/>
              </w:rPr>
            </w:pPr>
          </w:p>
        </w:tc>
      </w:tr>
      <w:tr w:rsidR="00187152" w:rsidRPr="00187152" w14:paraId="5D895D85" w14:textId="77777777" w:rsidTr="00B856C5">
        <w:tc>
          <w:tcPr>
            <w:tcW w:w="3235" w:type="dxa"/>
          </w:tcPr>
          <w:p w14:paraId="09C8047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Related Policies and Procedures</w:t>
            </w:r>
          </w:p>
        </w:tc>
        <w:tc>
          <w:tcPr>
            <w:tcW w:w="6115" w:type="dxa"/>
          </w:tcPr>
          <w:p w14:paraId="596046CF" w14:textId="5799F099" w:rsidR="00187152" w:rsidRPr="00187152" w:rsidRDefault="00187152" w:rsidP="00187152">
            <w:pPr>
              <w:rPr>
                <w:rFonts w:asciiTheme="minorHAnsi" w:eastAsiaTheme="minorHAnsi" w:hAnsiTheme="minorHAnsi" w:cstheme="minorBidi"/>
                <w:sz w:val="22"/>
                <w:szCs w:val="22"/>
              </w:rPr>
            </w:pPr>
          </w:p>
        </w:tc>
      </w:tr>
    </w:tbl>
    <w:p w14:paraId="79D5ADDA" w14:textId="77777777" w:rsidR="00187152" w:rsidRPr="00187152" w:rsidRDefault="00187152" w:rsidP="00187152">
      <w:pPr>
        <w:rPr>
          <w:rFonts w:asciiTheme="minorHAnsi" w:eastAsiaTheme="minorHAnsi" w:hAnsiTheme="minorHAnsi" w:cstheme="minorBidi"/>
          <w:sz w:val="22"/>
          <w:szCs w:val="22"/>
        </w:rPr>
      </w:pPr>
    </w:p>
    <w:p w14:paraId="157B6BAD" w14:textId="77777777" w:rsidR="00187152" w:rsidRPr="00187152" w:rsidRDefault="00187152" w:rsidP="00187152">
      <w:pPr>
        <w:rPr>
          <w:rFonts w:asciiTheme="minorHAnsi" w:eastAsiaTheme="minorHAnsi" w:hAnsiTheme="minorHAnsi" w:cstheme="minorBidi"/>
          <w:sz w:val="22"/>
          <w:szCs w:val="22"/>
        </w:rPr>
      </w:pPr>
    </w:p>
    <w:p w14:paraId="3ADE797B"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Purpose/Introduction</w:t>
      </w:r>
    </w:p>
    <w:p w14:paraId="24272068" w14:textId="11A6A823" w:rsidR="00187152" w:rsidRDefault="00FF7531" w:rsidP="00FF7531">
      <w:pPr>
        <w:ind w:left="360"/>
        <w:rPr>
          <w:rFonts w:asciiTheme="minorHAnsi" w:eastAsiaTheme="minorHAnsi" w:hAnsiTheme="minorHAnsi" w:cstheme="minorBidi"/>
          <w:sz w:val="22"/>
          <w:szCs w:val="22"/>
        </w:rPr>
      </w:pPr>
      <w:r w:rsidRPr="00FF7531">
        <w:rPr>
          <w:rFonts w:asciiTheme="minorHAnsi" w:eastAsiaTheme="minorHAnsi" w:hAnsiTheme="minorHAnsi" w:cstheme="minorBidi"/>
          <w:sz w:val="22"/>
          <w:szCs w:val="22"/>
        </w:rPr>
        <w:t>The University of North Carolina at Greensboro (UNCG) is committed to promoting energy</w:t>
      </w:r>
      <w:r>
        <w:rPr>
          <w:rFonts w:asciiTheme="minorHAnsi" w:eastAsiaTheme="minorHAnsi" w:hAnsiTheme="minorHAnsi" w:cstheme="minorBidi"/>
          <w:sz w:val="22"/>
          <w:szCs w:val="22"/>
        </w:rPr>
        <w:t xml:space="preserve"> </w:t>
      </w:r>
      <w:r w:rsidRPr="00FF7531">
        <w:rPr>
          <w:rFonts w:asciiTheme="minorHAnsi" w:eastAsiaTheme="minorHAnsi" w:hAnsiTheme="minorHAnsi" w:cstheme="minorBidi"/>
          <w:sz w:val="22"/>
          <w:szCs w:val="22"/>
        </w:rPr>
        <w:t>conservation through careful management of utilities, maintenance of building systems, and efficient operation of facilities while maintaining a safe and comfortable environment for learning and working. UNCG is committed to meeting the University of North Carolina System Sustainability goal of climate neutrality by 2050. In addition, existing legislation in the State of North Carolina mandates reduction of energy consumption per square foot 30% by 2015, relative to a fiscal year 2002-2003 baseline. State laws require that all new buildings larger than 20,000 square feet must consume 30% less energy than the current state energy code. Meeting these goals requires the active support and participation by all members of the campus community. One important step towards achieving these goals is the establishment of standards of comfort for university facilities.</w:t>
      </w:r>
    </w:p>
    <w:p w14:paraId="4712409E" w14:textId="77777777" w:rsidR="00FF7531" w:rsidRPr="00187152" w:rsidRDefault="00FF7531" w:rsidP="00FF7531">
      <w:pPr>
        <w:ind w:left="360"/>
        <w:rPr>
          <w:rFonts w:asciiTheme="minorHAnsi" w:eastAsiaTheme="minorHAnsi" w:hAnsiTheme="minorHAnsi" w:cstheme="minorBidi"/>
          <w:sz w:val="22"/>
          <w:szCs w:val="22"/>
        </w:rPr>
      </w:pPr>
    </w:p>
    <w:p w14:paraId="0C1307AE"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Definitions</w:t>
      </w:r>
    </w:p>
    <w:p w14:paraId="7FE2DD0A" w14:textId="66EC638B" w:rsidR="00FF7531" w:rsidRPr="00FF7531" w:rsidRDefault="00FF7531" w:rsidP="00FF7531">
      <w:pPr>
        <w:ind w:left="360"/>
        <w:rPr>
          <w:rFonts w:asciiTheme="minorHAnsi" w:eastAsiaTheme="minorHAnsi" w:hAnsiTheme="minorHAnsi" w:cstheme="minorBidi"/>
          <w:sz w:val="22"/>
          <w:szCs w:val="22"/>
          <w:u w:val="single"/>
        </w:rPr>
      </w:pPr>
      <w:r w:rsidRPr="00FF7531">
        <w:rPr>
          <w:rFonts w:asciiTheme="minorHAnsi" w:eastAsiaTheme="minorHAnsi" w:hAnsiTheme="minorHAnsi" w:cstheme="minorBidi"/>
          <w:b/>
          <w:bCs/>
          <w:sz w:val="22"/>
          <w:szCs w:val="22"/>
          <w:u w:val="single"/>
        </w:rPr>
        <w:t>Standards of Comfort</w:t>
      </w:r>
      <w:r>
        <w:rPr>
          <w:rFonts w:asciiTheme="minorHAnsi" w:eastAsiaTheme="minorHAnsi" w:hAnsiTheme="minorHAnsi" w:cstheme="minorBidi"/>
          <w:b/>
          <w:bCs/>
          <w:sz w:val="22"/>
          <w:szCs w:val="22"/>
          <w:u w:val="single"/>
        </w:rPr>
        <w:t>:</w:t>
      </w:r>
      <w:r w:rsidRPr="00FF7531">
        <w:rPr>
          <w:rFonts w:asciiTheme="minorHAnsi" w:eastAsiaTheme="minorHAnsi" w:hAnsiTheme="minorHAnsi" w:cstheme="minorBidi"/>
          <w:sz w:val="22"/>
          <w:szCs w:val="22"/>
          <w:u w:val="single"/>
        </w:rPr>
        <w:t xml:space="preserve"> </w:t>
      </w:r>
    </w:p>
    <w:p w14:paraId="61933478" w14:textId="77777777" w:rsidR="00FF7531" w:rsidRDefault="00FF7531" w:rsidP="00FF7531">
      <w:pPr>
        <w:ind w:left="360"/>
        <w:rPr>
          <w:rFonts w:asciiTheme="minorHAnsi" w:eastAsiaTheme="minorHAnsi" w:hAnsiTheme="minorHAnsi" w:cstheme="minorBidi"/>
          <w:sz w:val="22"/>
          <w:szCs w:val="22"/>
        </w:rPr>
      </w:pPr>
    </w:p>
    <w:p w14:paraId="6D348C36" w14:textId="3D46D62C" w:rsidR="00187152" w:rsidRDefault="00FF7531" w:rsidP="00FF7531">
      <w:pPr>
        <w:ind w:left="360"/>
        <w:rPr>
          <w:rFonts w:asciiTheme="minorHAnsi" w:eastAsiaTheme="minorHAnsi" w:hAnsiTheme="minorHAnsi" w:cstheme="minorBidi"/>
          <w:sz w:val="22"/>
          <w:szCs w:val="22"/>
        </w:rPr>
      </w:pPr>
      <w:proofErr w:type="gramStart"/>
      <w:r w:rsidRPr="00FF7531">
        <w:rPr>
          <w:rFonts w:asciiTheme="minorHAnsi" w:eastAsiaTheme="minorHAnsi" w:hAnsiTheme="minorHAnsi" w:cstheme="minorBidi"/>
          <w:sz w:val="22"/>
          <w:szCs w:val="22"/>
        </w:rPr>
        <w:t>In order to</w:t>
      </w:r>
      <w:proofErr w:type="gramEnd"/>
      <w:r w:rsidRPr="00FF7531">
        <w:rPr>
          <w:rFonts w:asciiTheme="minorHAnsi" w:eastAsiaTheme="minorHAnsi" w:hAnsiTheme="minorHAnsi" w:cstheme="minorBidi"/>
          <w:sz w:val="22"/>
          <w:szCs w:val="22"/>
        </w:rPr>
        <w:t xml:space="preserve"> maintain indoor environmental conditions that promote the productivity and comfort of occupants, UNCG facilities will be operated within set points that fall within the ranges set by the American Society of Heating, Refrigerating, and Air Conditioning Engineers (ASHRAE Standard 55, Thermal Environmental Conditions for Human Occupancy, 2007). During occupied hours (see Occupancy Schedule below), thermostats will be set at 69-71°F in the heating season, and 74-78°F in the cooling season. During unoccupied hours, the building temperature will be set back at 80°F during the cooling season and at 55-60°F during the heating season. Building occupants are expected to comply with setting the thermostats within these ranges in buildings where thermostats cannot be automatically set by a building automation system (BAS) or other means.</w:t>
      </w:r>
    </w:p>
    <w:p w14:paraId="58B497FB" w14:textId="77777777" w:rsidR="00FF7531" w:rsidRPr="00187152" w:rsidRDefault="00FF7531" w:rsidP="00187152">
      <w:pPr>
        <w:rPr>
          <w:rFonts w:asciiTheme="minorHAnsi" w:eastAsiaTheme="minorHAnsi" w:hAnsiTheme="minorHAnsi" w:cstheme="minorBidi"/>
          <w:sz w:val="22"/>
          <w:szCs w:val="22"/>
        </w:rPr>
      </w:pPr>
    </w:p>
    <w:p w14:paraId="13F3DB8C"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Procedural Steps</w:t>
      </w:r>
    </w:p>
    <w:p w14:paraId="21A4A456" w14:textId="55808615" w:rsidR="002D0AE0" w:rsidRPr="002D0AE0" w:rsidRDefault="002D0AE0" w:rsidP="002D0AE0">
      <w:pPr>
        <w:ind w:left="360"/>
        <w:rPr>
          <w:rFonts w:asciiTheme="minorHAnsi" w:eastAsiaTheme="minorHAnsi" w:hAnsiTheme="minorHAnsi" w:cstheme="minorBidi"/>
          <w:b/>
          <w:bCs/>
          <w:sz w:val="22"/>
          <w:szCs w:val="22"/>
          <w:u w:val="single"/>
        </w:rPr>
      </w:pPr>
      <w:r>
        <w:rPr>
          <w:rFonts w:asciiTheme="minorHAnsi" w:eastAsiaTheme="minorHAnsi" w:hAnsiTheme="minorHAnsi" w:cstheme="minorBidi"/>
          <w:b/>
          <w:bCs/>
          <w:sz w:val="22"/>
          <w:szCs w:val="22"/>
          <w:u w:val="single"/>
        </w:rPr>
        <w:t xml:space="preserve">3.1 </w:t>
      </w:r>
      <w:r w:rsidRPr="002D0AE0">
        <w:rPr>
          <w:rFonts w:asciiTheme="minorHAnsi" w:eastAsiaTheme="minorHAnsi" w:hAnsiTheme="minorHAnsi" w:cstheme="minorBidi"/>
          <w:b/>
          <w:bCs/>
          <w:sz w:val="22"/>
          <w:szCs w:val="22"/>
          <w:u w:val="single"/>
        </w:rPr>
        <w:t xml:space="preserve">Faculty and Staff Responsibilities </w:t>
      </w:r>
    </w:p>
    <w:p w14:paraId="17A851A0" w14:textId="77777777" w:rsidR="002D0AE0" w:rsidRDefault="002D0AE0" w:rsidP="002D0AE0">
      <w:pPr>
        <w:ind w:left="360"/>
        <w:rPr>
          <w:rFonts w:asciiTheme="minorHAnsi" w:eastAsiaTheme="minorHAnsi" w:hAnsiTheme="minorHAnsi" w:cstheme="minorBidi"/>
          <w:sz w:val="22"/>
          <w:szCs w:val="22"/>
        </w:rPr>
      </w:pPr>
    </w:p>
    <w:p w14:paraId="4833EB99" w14:textId="4441495D" w:rsidR="002D0AE0" w:rsidRDefault="002D0AE0" w:rsidP="002D0AE0">
      <w:pPr>
        <w:ind w:left="360"/>
        <w:rPr>
          <w:rFonts w:asciiTheme="minorHAnsi" w:eastAsiaTheme="minorHAnsi" w:hAnsiTheme="minorHAnsi" w:cstheme="minorBidi"/>
          <w:sz w:val="22"/>
          <w:szCs w:val="22"/>
        </w:rPr>
      </w:pPr>
      <w:r w:rsidRPr="002D0AE0">
        <w:rPr>
          <w:rFonts w:asciiTheme="minorHAnsi" w:eastAsiaTheme="minorHAnsi" w:hAnsiTheme="minorHAnsi" w:cstheme="minorBidi"/>
          <w:sz w:val="22"/>
          <w:szCs w:val="22"/>
        </w:rPr>
        <w:t xml:space="preserve">Employees that consider the temperature within their working area outside the temperature ranges specified above are directed to contact the Facilities Operations Work Information Center at 334-5684 to assess the heating and cooling system supplying the area. Employees are expected to share responsibility for their comfort by adjusting their attire as appropriate. In general, UNCG staff is expected to: </w:t>
      </w:r>
    </w:p>
    <w:p w14:paraId="226FBD52" w14:textId="77777777" w:rsidR="002D0AE0" w:rsidRDefault="002D0AE0" w:rsidP="002D0AE0">
      <w:pPr>
        <w:ind w:left="360"/>
        <w:rPr>
          <w:rFonts w:asciiTheme="minorHAnsi" w:eastAsiaTheme="minorHAnsi" w:hAnsiTheme="minorHAnsi" w:cstheme="minorBidi"/>
          <w:sz w:val="22"/>
          <w:szCs w:val="22"/>
        </w:rPr>
      </w:pPr>
    </w:p>
    <w:p w14:paraId="362AF749" w14:textId="779622D9" w:rsidR="002D0AE0" w:rsidRPr="002D0AE0" w:rsidRDefault="002D0AE0" w:rsidP="002D0AE0">
      <w:pPr>
        <w:pStyle w:val="ListParagraph"/>
        <w:numPr>
          <w:ilvl w:val="0"/>
          <w:numId w:val="5"/>
        </w:numPr>
        <w:rPr>
          <w:rFonts w:asciiTheme="minorHAnsi" w:eastAsiaTheme="minorHAnsi" w:hAnsiTheme="minorHAnsi" w:cstheme="minorBidi"/>
          <w:sz w:val="22"/>
          <w:szCs w:val="22"/>
        </w:rPr>
      </w:pPr>
      <w:r w:rsidRPr="002D0AE0">
        <w:rPr>
          <w:rFonts w:asciiTheme="minorHAnsi" w:eastAsiaTheme="minorHAnsi" w:hAnsiTheme="minorHAnsi" w:cstheme="minorBidi"/>
          <w:sz w:val="22"/>
          <w:szCs w:val="22"/>
        </w:rPr>
        <w:t xml:space="preserve">Ensure that windows and exterior doors are closed and not propped open unnecessarily. </w:t>
      </w:r>
    </w:p>
    <w:p w14:paraId="0D3A3AF1" w14:textId="3D33ABD1" w:rsidR="00187152" w:rsidRDefault="002D0AE0" w:rsidP="002D0AE0">
      <w:pPr>
        <w:pStyle w:val="ListParagraph"/>
        <w:numPr>
          <w:ilvl w:val="0"/>
          <w:numId w:val="5"/>
        </w:numPr>
        <w:rPr>
          <w:rFonts w:asciiTheme="minorHAnsi" w:eastAsiaTheme="minorHAnsi" w:hAnsiTheme="minorHAnsi" w:cstheme="minorBidi"/>
          <w:sz w:val="22"/>
          <w:szCs w:val="22"/>
        </w:rPr>
      </w:pPr>
      <w:r w:rsidRPr="002D0AE0">
        <w:rPr>
          <w:rFonts w:asciiTheme="minorHAnsi" w:eastAsiaTheme="minorHAnsi" w:hAnsiTheme="minorHAnsi" w:cstheme="minorBidi"/>
          <w:sz w:val="22"/>
          <w:szCs w:val="22"/>
        </w:rPr>
        <w:t>Not use personal space heaters.</w:t>
      </w:r>
    </w:p>
    <w:tbl>
      <w:tblPr>
        <w:tblW w:w="10160" w:type="dxa"/>
        <w:tblLook w:val="04A0" w:firstRow="1" w:lastRow="0" w:firstColumn="1" w:lastColumn="0" w:noHBand="0" w:noVBand="1"/>
      </w:tblPr>
      <w:tblGrid>
        <w:gridCol w:w="3840"/>
        <w:gridCol w:w="6320"/>
      </w:tblGrid>
      <w:tr w:rsidR="0074555E" w:rsidRPr="0074555E" w14:paraId="32DF5012" w14:textId="77777777" w:rsidTr="0074555E">
        <w:trPr>
          <w:trHeight w:val="300"/>
        </w:trPr>
        <w:tc>
          <w:tcPr>
            <w:tcW w:w="10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60AB" w14:textId="77777777" w:rsidR="0074555E" w:rsidRPr="0074555E" w:rsidRDefault="0074555E" w:rsidP="0074555E">
            <w:pPr>
              <w:jc w:val="center"/>
              <w:rPr>
                <w:rFonts w:ascii="Calibri" w:hAnsi="Calibri" w:cs="Calibri"/>
                <w:b/>
                <w:bCs/>
                <w:color w:val="000000"/>
                <w:sz w:val="22"/>
                <w:szCs w:val="22"/>
              </w:rPr>
            </w:pPr>
            <w:r w:rsidRPr="0074555E">
              <w:rPr>
                <w:rFonts w:ascii="Calibri" w:hAnsi="Calibri" w:cs="Calibri"/>
                <w:b/>
                <w:bCs/>
                <w:color w:val="000000"/>
                <w:sz w:val="22"/>
                <w:szCs w:val="22"/>
              </w:rPr>
              <w:lastRenderedPageBreak/>
              <w:t>Occupancy Schedules</w:t>
            </w:r>
          </w:p>
        </w:tc>
      </w:tr>
      <w:tr w:rsidR="0074555E" w:rsidRPr="0074555E" w14:paraId="4D3AD2A4"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C0F951C" w14:textId="77777777" w:rsidR="0074555E" w:rsidRPr="0074555E" w:rsidRDefault="0074555E" w:rsidP="0074555E">
            <w:pPr>
              <w:jc w:val="center"/>
              <w:rPr>
                <w:rFonts w:ascii="Calibri" w:hAnsi="Calibri" w:cs="Calibri"/>
                <w:b/>
                <w:bCs/>
                <w:color w:val="000000"/>
                <w:sz w:val="22"/>
                <w:szCs w:val="22"/>
              </w:rPr>
            </w:pPr>
            <w:r w:rsidRPr="0074555E">
              <w:rPr>
                <w:rFonts w:ascii="Calibri" w:hAnsi="Calibri" w:cs="Calibri"/>
                <w:b/>
                <w:bCs/>
                <w:color w:val="000000"/>
                <w:sz w:val="22"/>
                <w:szCs w:val="22"/>
              </w:rPr>
              <w:t>Occupancy Schedules Building Type</w:t>
            </w:r>
          </w:p>
        </w:tc>
        <w:tc>
          <w:tcPr>
            <w:tcW w:w="6320" w:type="dxa"/>
            <w:tcBorders>
              <w:top w:val="nil"/>
              <w:left w:val="nil"/>
              <w:bottom w:val="single" w:sz="4" w:space="0" w:color="auto"/>
              <w:right w:val="single" w:sz="4" w:space="0" w:color="auto"/>
            </w:tcBorders>
            <w:shd w:val="clear" w:color="auto" w:fill="auto"/>
            <w:noWrap/>
            <w:vAlign w:val="bottom"/>
            <w:hideMark/>
          </w:tcPr>
          <w:p w14:paraId="3CD83375" w14:textId="77777777" w:rsidR="0074555E" w:rsidRPr="0074555E" w:rsidRDefault="0074555E" w:rsidP="0074555E">
            <w:pPr>
              <w:jc w:val="center"/>
              <w:rPr>
                <w:rFonts w:ascii="Calibri" w:hAnsi="Calibri" w:cs="Calibri"/>
                <w:b/>
                <w:bCs/>
                <w:color w:val="000000"/>
                <w:sz w:val="22"/>
                <w:szCs w:val="22"/>
              </w:rPr>
            </w:pPr>
            <w:r w:rsidRPr="0074555E">
              <w:rPr>
                <w:rFonts w:ascii="Calibri" w:hAnsi="Calibri" w:cs="Calibri"/>
                <w:b/>
                <w:bCs/>
                <w:color w:val="000000"/>
                <w:sz w:val="22"/>
                <w:szCs w:val="22"/>
              </w:rPr>
              <w:t>Occupied Hours</w:t>
            </w:r>
          </w:p>
        </w:tc>
      </w:tr>
      <w:tr w:rsidR="0074555E" w:rsidRPr="0074555E" w14:paraId="6AD59CE1"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4AFADD3"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Academic Building</w:t>
            </w:r>
          </w:p>
        </w:tc>
        <w:tc>
          <w:tcPr>
            <w:tcW w:w="6320" w:type="dxa"/>
            <w:tcBorders>
              <w:top w:val="nil"/>
              <w:left w:val="nil"/>
              <w:bottom w:val="single" w:sz="4" w:space="0" w:color="auto"/>
              <w:right w:val="single" w:sz="4" w:space="0" w:color="auto"/>
            </w:tcBorders>
            <w:shd w:val="clear" w:color="auto" w:fill="auto"/>
            <w:noWrap/>
            <w:vAlign w:val="bottom"/>
            <w:hideMark/>
          </w:tcPr>
          <w:p w14:paraId="42AC6619"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7 a.m. to 9 p.m., Monday through Friday</w:t>
            </w:r>
          </w:p>
        </w:tc>
      </w:tr>
      <w:tr w:rsidR="0074555E" w:rsidRPr="0074555E" w14:paraId="4153E30A"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FF04EBD"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Administrative Building</w:t>
            </w:r>
          </w:p>
        </w:tc>
        <w:tc>
          <w:tcPr>
            <w:tcW w:w="6320" w:type="dxa"/>
            <w:tcBorders>
              <w:top w:val="nil"/>
              <w:left w:val="nil"/>
              <w:bottom w:val="single" w:sz="4" w:space="0" w:color="auto"/>
              <w:right w:val="single" w:sz="4" w:space="0" w:color="auto"/>
            </w:tcBorders>
            <w:shd w:val="clear" w:color="auto" w:fill="auto"/>
            <w:noWrap/>
            <w:vAlign w:val="bottom"/>
            <w:hideMark/>
          </w:tcPr>
          <w:p w14:paraId="61096AD2"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7 a.m. to 6 p.m., Monday through Friday</w:t>
            </w:r>
          </w:p>
        </w:tc>
      </w:tr>
      <w:tr w:rsidR="0074555E" w:rsidRPr="0074555E" w14:paraId="0E0F8099" w14:textId="77777777" w:rsidTr="0074555E">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A39CDED"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Gymnasiums/Dining Hall/Student Recreation Center/Elliott University Center</w:t>
            </w:r>
          </w:p>
        </w:tc>
        <w:tc>
          <w:tcPr>
            <w:tcW w:w="6320" w:type="dxa"/>
            <w:tcBorders>
              <w:top w:val="nil"/>
              <w:left w:val="nil"/>
              <w:bottom w:val="single" w:sz="4" w:space="0" w:color="auto"/>
              <w:right w:val="single" w:sz="4" w:space="0" w:color="auto"/>
            </w:tcBorders>
            <w:shd w:val="clear" w:color="auto" w:fill="auto"/>
            <w:noWrap/>
            <w:vAlign w:val="bottom"/>
            <w:hideMark/>
          </w:tcPr>
          <w:p w14:paraId="269DC807"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In accordance with listed hours of operation</w:t>
            </w:r>
          </w:p>
        </w:tc>
      </w:tr>
      <w:tr w:rsidR="0074555E" w:rsidRPr="0074555E" w14:paraId="57A3EE34"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3C52F13"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Aycock Auditorium/Taylor Theater</w:t>
            </w:r>
          </w:p>
        </w:tc>
        <w:tc>
          <w:tcPr>
            <w:tcW w:w="6320" w:type="dxa"/>
            <w:tcBorders>
              <w:top w:val="nil"/>
              <w:left w:val="nil"/>
              <w:bottom w:val="single" w:sz="4" w:space="0" w:color="auto"/>
              <w:right w:val="single" w:sz="4" w:space="0" w:color="auto"/>
            </w:tcBorders>
            <w:shd w:val="clear" w:color="auto" w:fill="auto"/>
            <w:noWrap/>
            <w:vAlign w:val="bottom"/>
            <w:hideMark/>
          </w:tcPr>
          <w:p w14:paraId="3EAB95F0"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In accordance with schedule of use</w:t>
            </w:r>
          </w:p>
        </w:tc>
      </w:tr>
      <w:tr w:rsidR="0074555E" w:rsidRPr="0074555E" w14:paraId="49077365"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6F62ECF"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Teaching Laboratories</w:t>
            </w:r>
          </w:p>
        </w:tc>
        <w:tc>
          <w:tcPr>
            <w:tcW w:w="6320" w:type="dxa"/>
            <w:tcBorders>
              <w:top w:val="nil"/>
              <w:left w:val="nil"/>
              <w:bottom w:val="single" w:sz="4" w:space="0" w:color="auto"/>
              <w:right w:val="single" w:sz="4" w:space="0" w:color="auto"/>
            </w:tcBorders>
            <w:shd w:val="clear" w:color="auto" w:fill="auto"/>
            <w:noWrap/>
            <w:vAlign w:val="bottom"/>
            <w:hideMark/>
          </w:tcPr>
          <w:p w14:paraId="6D6EA6F2"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7 a.m. to 9 p.m., Monday through Friday during the academic year</w:t>
            </w:r>
          </w:p>
        </w:tc>
      </w:tr>
      <w:tr w:rsidR="0074555E" w:rsidRPr="0074555E" w14:paraId="2A427CF2"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DE2CFAB"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Residence Halls</w:t>
            </w:r>
          </w:p>
        </w:tc>
        <w:tc>
          <w:tcPr>
            <w:tcW w:w="6320" w:type="dxa"/>
            <w:tcBorders>
              <w:top w:val="nil"/>
              <w:left w:val="nil"/>
              <w:bottom w:val="single" w:sz="4" w:space="0" w:color="auto"/>
              <w:right w:val="single" w:sz="4" w:space="0" w:color="auto"/>
            </w:tcBorders>
            <w:shd w:val="clear" w:color="auto" w:fill="auto"/>
            <w:noWrap/>
            <w:vAlign w:val="bottom"/>
            <w:hideMark/>
          </w:tcPr>
          <w:p w14:paraId="4145B521"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24 hours per day, except holidays and extended breaks</w:t>
            </w:r>
          </w:p>
        </w:tc>
      </w:tr>
      <w:tr w:rsidR="0074555E" w:rsidRPr="0074555E" w14:paraId="6F0930C0"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3C00E1B"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Libraries</w:t>
            </w:r>
          </w:p>
        </w:tc>
        <w:tc>
          <w:tcPr>
            <w:tcW w:w="6320" w:type="dxa"/>
            <w:tcBorders>
              <w:top w:val="nil"/>
              <w:left w:val="nil"/>
              <w:bottom w:val="single" w:sz="4" w:space="0" w:color="auto"/>
              <w:right w:val="single" w:sz="4" w:space="0" w:color="auto"/>
            </w:tcBorders>
            <w:shd w:val="clear" w:color="auto" w:fill="auto"/>
            <w:noWrap/>
            <w:vAlign w:val="bottom"/>
            <w:hideMark/>
          </w:tcPr>
          <w:p w14:paraId="09E9F283"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Sunday 10 a.m. through Friday 10 p.m. Saturday 10 a.m. to 10 p.m.</w:t>
            </w:r>
          </w:p>
        </w:tc>
      </w:tr>
      <w:tr w:rsidR="0074555E" w:rsidRPr="0074555E" w14:paraId="0BB6C814" w14:textId="77777777" w:rsidTr="0074555E">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EA0398C"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Research Laboratories/Cone Art Building</w:t>
            </w:r>
          </w:p>
        </w:tc>
        <w:tc>
          <w:tcPr>
            <w:tcW w:w="6320" w:type="dxa"/>
            <w:tcBorders>
              <w:top w:val="nil"/>
              <w:left w:val="nil"/>
              <w:bottom w:val="single" w:sz="4" w:space="0" w:color="auto"/>
              <w:right w:val="single" w:sz="4" w:space="0" w:color="auto"/>
            </w:tcBorders>
            <w:shd w:val="clear" w:color="auto" w:fill="auto"/>
            <w:noWrap/>
            <w:vAlign w:val="bottom"/>
            <w:hideMark/>
          </w:tcPr>
          <w:p w14:paraId="73CC9D2D" w14:textId="77777777" w:rsidR="0074555E" w:rsidRPr="0074555E" w:rsidRDefault="0074555E" w:rsidP="0074555E">
            <w:pPr>
              <w:rPr>
                <w:rFonts w:ascii="Calibri" w:hAnsi="Calibri" w:cs="Calibri"/>
                <w:color w:val="000000"/>
                <w:sz w:val="22"/>
                <w:szCs w:val="22"/>
              </w:rPr>
            </w:pPr>
            <w:r w:rsidRPr="0074555E">
              <w:rPr>
                <w:rFonts w:ascii="Calibri" w:hAnsi="Calibri" w:cs="Calibri"/>
                <w:color w:val="000000"/>
                <w:sz w:val="22"/>
                <w:szCs w:val="22"/>
              </w:rPr>
              <w:t>24 hours per day if required, or as identified by building contact</w:t>
            </w:r>
          </w:p>
        </w:tc>
      </w:tr>
    </w:tbl>
    <w:p w14:paraId="025352B6" w14:textId="438E9568" w:rsidR="0074555E" w:rsidRDefault="0074555E" w:rsidP="0074555E">
      <w:pPr>
        <w:rPr>
          <w:rFonts w:asciiTheme="minorHAnsi" w:eastAsiaTheme="minorHAnsi" w:hAnsiTheme="minorHAnsi" w:cstheme="minorBidi"/>
          <w:sz w:val="22"/>
          <w:szCs w:val="22"/>
        </w:rPr>
      </w:pPr>
    </w:p>
    <w:p w14:paraId="3AAE9143" w14:textId="77777777" w:rsidR="007E5FFA" w:rsidRPr="007E5FFA" w:rsidRDefault="007E5FFA" w:rsidP="007E5FFA">
      <w:pPr>
        <w:ind w:firstLine="360"/>
        <w:rPr>
          <w:rFonts w:asciiTheme="minorHAnsi" w:eastAsiaTheme="minorHAnsi" w:hAnsiTheme="minorHAnsi" w:cstheme="minorBidi"/>
          <w:sz w:val="22"/>
          <w:szCs w:val="22"/>
        </w:rPr>
      </w:pPr>
      <w:r w:rsidRPr="007E5FFA">
        <w:rPr>
          <w:rFonts w:asciiTheme="minorHAnsi" w:eastAsiaTheme="minorHAnsi" w:hAnsiTheme="minorHAnsi" w:cstheme="minorBidi"/>
          <w:sz w:val="22"/>
          <w:szCs w:val="22"/>
        </w:rPr>
        <w:t>Other considerations:</w:t>
      </w:r>
    </w:p>
    <w:p w14:paraId="79AD16A6" w14:textId="62889F08" w:rsidR="007E5FFA" w:rsidRDefault="007E5FFA" w:rsidP="007E5FFA">
      <w:pPr>
        <w:pStyle w:val="ListParagraph"/>
        <w:numPr>
          <w:ilvl w:val="0"/>
          <w:numId w:val="5"/>
        </w:numPr>
        <w:rPr>
          <w:rFonts w:asciiTheme="minorHAnsi" w:eastAsiaTheme="minorHAnsi" w:hAnsiTheme="minorHAnsi" w:cstheme="minorBidi"/>
          <w:sz w:val="22"/>
          <w:szCs w:val="22"/>
        </w:rPr>
      </w:pPr>
      <w:r w:rsidRPr="007E5FFA">
        <w:rPr>
          <w:rFonts w:asciiTheme="minorHAnsi" w:eastAsiaTheme="minorHAnsi" w:hAnsiTheme="minorHAnsi" w:cstheme="minorBidi"/>
          <w:sz w:val="22"/>
          <w:szCs w:val="22"/>
        </w:rPr>
        <w:t>Operation schedules and temperature set points will be modified in cooperation with the</w:t>
      </w:r>
      <w:r>
        <w:rPr>
          <w:rFonts w:asciiTheme="minorHAnsi" w:eastAsiaTheme="minorHAnsi" w:hAnsiTheme="minorHAnsi" w:cstheme="minorBidi"/>
          <w:sz w:val="22"/>
          <w:szCs w:val="22"/>
        </w:rPr>
        <w:t xml:space="preserve"> </w:t>
      </w:r>
      <w:r w:rsidRPr="007E5FFA">
        <w:rPr>
          <w:rFonts w:asciiTheme="minorHAnsi" w:eastAsiaTheme="minorHAnsi" w:hAnsiTheme="minorHAnsi" w:cstheme="minorBidi"/>
          <w:sz w:val="22"/>
          <w:szCs w:val="22"/>
        </w:rPr>
        <w:t>building contact as needed to accommodate non-standard building operations.</w:t>
      </w:r>
    </w:p>
    <w:p w14:paraId="2E49F30A" w14:textId="77777777" w:rsidR="007E5FFA" w:rsidRPr="007E5FFA" w:rsidRDefault="007E5FFA" w:rsidP="007E5FFA">
      <w:pPr>
        <w:pStyle w:val="ListParagraph"/>
        <w:ind w:left="1080"/>
        <w:rPr>
          <w:rFonts w:asciiTheme="minorHAnsi" w:eastAsiaTheme="minorHAnsi" w:hAnsiTheme="minorHAnsi" w:cstheme="minorBidi"/>
          <w:sz w:val="22"/>
          <w:szCs w:val="22"/>
        </w:rPr>
      </w:pPr>
    </w:p>
    <w:p w14:paraId="50067C50" w14:textId="25BECFEA" w:rsidR="007E5FFA" w:rsidRPr="007E5FFA" w:rsidRDefault="007E5FFA" w:rsidP="007E5FFA">
      <w:pPr>
        <w:pStyle w:val="ListParagraph"/>
        <w:numPr>
          <w:ilvl w:val="0"/>
          <w:numId w:val="6"/>
        </w:numPr>
        <w:rPr>
          <w:rFonts w:asciiTheme="minorHAnsi" w:eastAsiaTheme="minorHAnsi" w:hAnsiTheme="minorHAnsi" w:cstheme="minorBidi"/>
          <w:sz w:val="22"/>
          <w:szCs w:val="22"/>
        </w:rPr>
      </w:pPr>
      <w:r w:rsidRPr="007E5FFA">
        <w:rPr>
          <w:rFonts w:asciiTheme="minorHAnsi" w:eastAsiaTheme="minorHAnsi" w:hAnsiTheme="minorHAnsi" w:cstheme="minorBidi"/>
          <w:sz w:val="22"/>
          <w:szCs w:val="22"/>
        </w:rPr>
        <w:t xml:space="preserve">Employees can expect that the temperature within a building will be no less than the minimum of the heating season thermostat set point </w:t>
      </w:r>
      <w:proofErr w:type="gramStart"/>
      <w:r w:rsidRPr="007E5FFA">
        <w:rPr>
          <w:rFonts w:asciiTheme="minorHAnsi" w:eastAsiaTheme="minorHAnsi" w:hAnsiTheme="minorHAnsi" w:cstheme="minorBidi"/>
          <w:sz w:val="22"/>
          <w:szCs w:val="22"/>
        </w:rPr>
        <w:t>range</w:t>
      </w:r>
      <w:proofErr w:type="gramEnd"/>
      <w:r w:rsidRPr="007E5FFA">
        <w:rPr>
          <w:rFonts w:asciiTheme="minorHAnsi" w:eastAsiaTheme="minorHAnsi" w:hAnsiTheme="minorHAnsi" w:cstheme="minorBidi"/>
          <w:sz w:val="22"/>
          <w:szCs w:val="22"/>
        </w:rPr>
        <w:t xml:space="preserve"> and no more than the maximum of the cooling season set point range as stated above during occupied hours. Temperature adjustments outside of these ranges will generally not be permitted.</w:t>
      </w:r>
    </w:p>
    <w:p w14:paraId="4B6EE0DA" w14:textId="77777777" w:rsidR="00187152" w:rsidRPr="00187152" w:rsidRDefault="00187152" w:rsidP="00187152">
      <w:pPr>
        <w:rPr>
          <w:rFonts w:asciiTheme="minorHAnsi" w:eastAsiaTheme="minorHAnsi" w:hAnsiTheme="minorHAnsi" w:cstheme="minorBidi"/>
          <w:sz w:val="22"/>
          <w:szCs w:val="22"/>
        </w:rPr>
      </w:pPr>
    </w:p>
    <w:p w14:paraId="77B4E1A9" w14:textId="77777777" w:rsidR="00187152" w:rsidRPr="00187152" w:rsidRDefault="00187152" w:rsidP="00187152">
      <w:pPr>
        <w:numPr>
          <w:ilvl w:val="0"/>
          <w:numId w:val="1"/>
        </w:numPr>
        <w:spacing w:after="160" w:line="259" w:lineRule="auto"/>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Table</w:t>
      </w:r>
    </w:p>
    <w:p w14:paraId="714201C2" w14:textId="77777777" w:rsidR="00187152" w:rsidRPr="00187152" w:rsidRDefault="00187152" w:rsidP="00187152">
      <w:pPr>
        <w:rPr>
          <w:rFonts w:asciiTheme="minorHAnsi" w:eastAsiaTheme="minorHAnsi" w:hAnsiTheme="minorHAnsi" w:cstheme="minorBidi"/>
          <w:sz w:val="22"/>
          <w:szCs w:val="22"/>
        </w:rPr>
      </w:pPr>
    </w:p>
    <w:tbl>
      <w:tblPr>
        <w:tblStyle w:val="TableGrid"/>
        <w:tblW w:w="10260" w:type="dxa"/>
        <w:tblInd w:w="-365" w:type="dxa"/>
        <w:tblLook w:val="04A0" w:firstRow="1" w:lastRow="0" w:firstColumn="1" w:lastColumn="0" w:noHBand="0" w:noVBand="1"/>
      </w:tblPr>
      <w:tblGrid>
        <w:gridCol w:w="1710"/>
        <w:gridCol w:w="1890"/>
        <w:gridCol w:w="5040"/>
        <w:gridCol w:w="1620"/>
      </w:tblGrid>
      <w:tr w:rsidR="00187152" w:rsidRPr="00187152" w14:paraId="678916BE" w14:textId="77777777" w:rsidTr="008B7B06">
        <w:tc>
          <w:tcPr>
            <w:tcW w:w="1710" w:type="dxa"/>
          </w:tcPr>
          <w:p w14:paraId="0C4A68F0"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Revision #</w:t>
            </w:r>
          </w:p>
        </w:tc>
        <w:tc>
          <w:tcPr>
            <w:tcW w:w="1890" w:type="dxa"/>
          </w:tcPr>
          <w:p w14:paraId="1DA88399"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Section #</w:t>
            </w:r>
          </w:p>
        </w:tc>
        <w:tc>
          <w:tcPr>
            <w:tcW w:w="5040" w:type="dxa"/>
          </w:tcPr>
          <w:p w14:paraId="64CD5833" w14:textId="77777777" w:rsidR="00187152" w:rsidRPr="00187152" w:rsidRDefault="00187152" w:rsidP="00187152">
            <w:pPr>
              <w:jc w:val="cente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Summary of Changes</w:t>
            </w:r>
          </w:p>
        </w:tc>
        <w:tc>
          <w:tcPr>
            <w:tcW w:w="1620" w:type="dxa"/>
          </w:tcPr>
          <w:p w14:paraId="34BD91A4" w14:textId="77777777" w:rsidR="00187152" w:rsidRPr="00187152" w:rsidRDefault="00187152" w:rsidP="00187152">
            <w:pPr>
              <w:rPr>
                <w:rFonts w:asciiTheme="minorHAnsi" w:eastAsiaTheme="minorHAnsi" w:hAnsiTheme="minorHAnsi" w:cstheme="minorBidi"/>
                <w:b/>
                <w:sz w:val="22"/>
                <w:szCs w:val="22"/>
              </w:rPr>
            </w:pPr>
            <w:r w:rsidRPr="00187152">
              <w:rPr>
                <w:rFonts w:asciiTheme="minorHAnsi" w:eastAsiaTheme="minorHAnsi" w:hAnsiTheme="minorHAnsi" w:cstheme="minorBidi"/>
                <w:b/>
                <w:sz w:val="22"/>
                <w:szCs w:val="22"/>
              </w:rPr>
              <w:t>Approval Date</w:t>
            </w:r>
          </w:p>
        </w:tc>
      </w:tr>
      <w:tr w:rsidR="00187152" w:rsidRPr="00187152" w14:paraId="2AD72FA6" w14:textId="77777777" w:rsidTr="008B7B06">
        <w:tc>
          <w:tcPr>
            <w:tcW w:w="1710" w:type="dxa"/>
          </w:tcPr>
          <w:p w14:paraId="113A72E2" w14:textId="4A367F57" w:rsidR="00187152" w:rsidRPr="00187152" w:rsidRDefault="00187152" w:rsidP="00187152">
            <w:pPr>
              <w:rPr>
                <w:rFonts w:asciiTheme="minorHAnsi" w:eastAsiaTheme="minorHAnsi" w:hAnsiTheme="minorHAnsi" w:cstheme="minorBidi"/>
                <w:sz w:val="22"/>
                <w:szCs w:val="22"/>
              </w:rPr>
            </w:pPr>
          </w:p>
        </w:tc>
        <w:tc>
          <w:tcPr>
            <w:tcW w:w="1890" w:type="dxa"/>
          </w:tcPr>
          <w:p w14:paraId="0A56053F" w14:textId="27C011D6" w:rsidR="00187152" w:rsidRPr="00187152" w:rsidRDefault="00187152" w:rsidP="00187152">
            <w:pPr>
              <w:rPr>
                <w:rFonts w:asciiTheme="minorHAnsi" w:eastAsiaTheme="minorHAnsi" w:hAnsiTheme="minorHAnsi" w:cstheme="minorBidi"/>
                <w:sz w:val="22"/>
                <w:szCs w:val="22"/>
              </w:rPr>
            </w:pPr>
          </w:p>
        </w:tc>
        <w:tc>
          <w:tcPr>
            <w:tcW w:w="5040" w:type="dxa"/>
          </w:tcPr>
          <w:p w14:paraId="2113FDC2" w14:textId="0E79016F" w:rsidR="00187152" w:rsidRPr="00187152" w:rsidRDefault="00187152" w:rsidP="00187152">
            <w:pPr>
              <w:rPr>
                <w:rFonts w:asciiTheme="minorHAnsi" w:eastAsiaTheme="minorHAnsi" w:hAnsiTheme="minorHAnsi" w:cstheme="minorBidi"/>
                <w:sz w:val="22"/>
                <w:szCs w:val="22"/>
              </w:rPr>
            </w:pPr>
          </w:p>
        </w:tc>
        <w:tc>
          <w:tcPr>
            <w:tcW w:w="1620" w:type="dxa"/>
          </w:tcPr>
          <w:p w14:paraId="16FAB3FA" w14:textId="5338A5C3" w:rsidR="00187152" w:rsidRPr="00187152" w:rsidRDefault="00187152" w:rsidP="00187152">
            <w:pPr>
              <w:rPr>
                <w:rFonts w:asciiTheme="minorHAnsi" w:eastAsiaTheme="minorHAnsi" w:hAnsiTheme="minorHAnsi" w:cstheme="minorBidi"/>
                <w:sz w:val="22"/>
                <w:szCs w:val="22"/>
              </w:rPr>
            </w:pPr>
          </w:p>
        </w:tc>
      </w:tr>
    </w:tbl>
    <w:p w14:paraId="1C4BC521" w14:textId="77777777" w:rsidR="00187152" w:rsidRPr="00187152" w:rsidRDefault="00187152" w:rsidP="00187152">
      <w:pPr>
        <w:rPr>
          <w:rFonts w:asciiTheme="minorHAnsi" w:eastAsiaTheme="minorHAnsi" w:hAnsiTheme="minorHAnsi" w:cstheme="minorBidi"/>
          <w:b/>
          <w:sz w:val="22"/>
          <w:szCs w:val="22"/>
        </w:rPr>
      </w:pPr>
    </w:p>
    <w:p w14:paraId="4D28C8E9" w14:textId="77777777" w:rsidR="004C1305" w:rsidRPr="004C1305" w:rsidRDefault="004C1305" w:rsidP="004C1305">
      <w:pPr>
        <w:pStyle w:val="NoSpacing"/>
        <w:rPr>
          <w:b/>
        </w:rPr>
      </w:pPr>
    </w:p>
    <w:sectPr w:rsidR="004C1305" w:rsidRPr="004C1305" w:rsidSect="00D83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3D3"/>
    <w:multiLevelType w:val="multilevel"/>
    <w:tmpl w:val="50E83A1C"/>
    <w:lvl w:ilvl="0">
      <w:start w:val="1"/>
      <w:numFmt w:val="lowerLetter"/>
      <w:lvlText w:val="%1)"/>
      <w:lvlJc w:val="left"/>
      <w:pPr>
        <w:ind w:left="5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D04AC"/>
    <w:multiLevelType w:val="hybridMultilevel"/>
    <w:tmpl w:val="C882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2556DB"/>
    <w:multiLevelType w:val="multilevel"/>
    <w:tmpl w:val="29C8316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98C0229"/>
    <w:multiLevelType w:val="hybridMultilevel"/>
    <w:tmpl w:val="3A7ABA66"/>
    <w:lvl w:ilvl="0" w:tplc="9F8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35544"/>
    <w:multiLevelType w:val="hybridMultilevel"/>
    <w:tmpl w:val="2E34F796"/>
    <w:lvl w:ilvl="0" w:tplc="9F8679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A04BDE"/>
    <w:multiLevelType w:val="hybridMultilevel"/>
    <w:tmpl w:val="46327A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7"/>
    <w:rsid w:val="00011DD8"/>
    <w:rsid w:val="00140915"/>
    <w:rsid w:val="001500EB"/>
    <w:rsid w:val="00187152"/>
    <w:rsid w:val="00241E2E"/>
    <w:rsid w:val="002D0AE0"/>
    <w:rsid w:val="002E6BB8"/>
    <w:rsid w:val="004C1305"/>
    <w:rsid w:val="004F026B"/>
    <w:rsid w:val="0074555E"/>
    <w:rsid w:val="007E5FFA"/>
    <w:rsid w:val="008117B6"/>
    <w:rsid w:val="009412D4"/>
    <w:rsid w:val="00A30E67"/>
    <w:rsid w:val="00B856C5"/>
    <w:rsid w:val="00C06D79"/>
    <w:rsid w:val="00C17122"/>
    <w:rsid w:val="00D279FE"/>
    <w:rsid w:val="00D70714"/>
    <w:rsid w:val="00D836F6"/>
    <w:rsid w:val="00DB0CE6"/>
    <w:rsid w:val="00E93AF7"/>
    <w:rsid w:val="00ED03B6"/>
    <w:rsid w:val="00EE7CE1"/>
    <w:rsid w:val="00F363C5"/>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BFB"/>
  <w15:chartTrackingRefBased/>
  <w15:docId w15:val="{8B5E35F4-571D-4635-A088-8FEB37D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E67"/>
    <w:pPr>
      <w:spacing w:after="0" w:line="240" w:lineRule="auto"/>
    </w:pPr>
  </w:style>
  <w:style w:type="table" w:styleId="TableGrid">
    <w:name w:val="Table Grid"/>
    <w:basedOn w:val="TableNormal"/>
    <w:uiPriority w:val="39"/>
    <w:rsid w:val="00A3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14"/>
    <w:rPr>
      <w:rFonts w:ascii="Segoe UI" w:hAnsi="Segoe UI" w:cs="Segoe UI"/>
      <w:sz w:val="18"/>
      <w:szCs w:val="18"/>
    </w:rPr>
  </w:style>
  <w:style w:type="paragraph" w:styleId="ListParagraph">
    <w:name w:val="List Paragraph"/>
    <w:basedOn w:val="Normal"/>
    <w:uiPriority w:val="34"/>
    <w:qFormat/>
    <w:rsid w:val="00140915"/>
    <w:pPr>
      <w:ind w:left="720"/>
      <w:contextualSpacing/>
    </w:pPr>
  </w:style>
  <w:style w:type="character" w:styleId="Hyperlink">
    <w:name w:val="Hyperlink"/>
    <w:basedOn w:val="DefaultParagraphFont"/>
    <w:uiPriority w:val="99"/>
    <w:unhideWhenUsed/>
    <w:rsid w:val="00140915"/>
    <w:rPr>
      <w:color w:val="0563C1" w:themeColor="hyperlink"/>
      <w:u w:val="single"/>
    </w:rPr>
  </w:style>
  <w:style w:type="character" w:styleId="UnresolvedMention">
    <w:name w:val="Unresolved Mention"/>
    <w:basedOn w:val="DefaultParagraphFont"/>
    <w:uiPriority w:val="99"/>
    <w:semiHidden/>
    <w:unhideWhenUsed/>
    <w:rsid w:val="0014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Hodges</dc:creator>
  <cp:keywords/>
  <dc:description/>
  <cp:lastModifiedBy>Brandon Eccles</cp:lastModifiedBy>
  <cp:revision>6</cp:revision>
  <dcterms:created xsi:type="dcterms:W3CDTF">2021-06-30T13:06:00Z</dcterms:created>
  <dcterms:modified xsi:type="dcterms:W3CDTF">2021-11-19T19:53:00Z</dcterms:modified>
</cp:coreProperties>
</file>